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611947" w14:textId="77777777" w:rsidR="009F33B4" w:rsidRPr="00EA1682" w:rsidRDefault="009F33B4" w:rsidP="009F33B4">
      <w:pPr>
        <w:spacing w:after="0" w:line="240" w:lineRule="auto"/>
        <w:jc w:val="center"/>
        <w:rPr>
          <w:rFonts w:ascii="Times New Roman" w:hAnsi="Times New Roman" w:cs="Times New Roman"/>
          <w:b/>
          <w:color w:val="C00000"/>
          <w:sz w:val="28"/>
          <w:szCs w:val="28"/>
        </w:rPr>
      </w:pPr>
      <w:r>
        <w:rPr>
          <w:rFonts w:ascii="Times New Roman" w:hAnsi="Times New Roman" w:cs="Times New Roman"/>
          <w:b/>
          <w:color w:val="C00000"/>
          <w:sz w:val="28"/>
          <w:szCs w:val="28"/>
          <w:lang w:val="kk-KZ"/>
        </w:rPr>
        <w:t xml:space="preserve">Долгосрочный </w:t>
      </w:r>
      <w:r w:rsidRPr="00EA1682">
        <w:rPr>
          <w:rFonts w:ascii="Times New Roman" w:hAnsi="Times New Roman" w:cs="Times New Roman"/>
          <w:b/>
          <w:color w:val="C00000"/>
          <w:sz w:val="28"/>
          <w:szCs w:val="28"/>
        </w:rPr>
        <w:t xml:space="preserve"> планирование по музыке</w:t>
      </w:r>
    </w:p>
    <w:p w14:paraId="25138AB1" w14:textId="77777777" w:rsidR="009F33B4" w:rsidRPr="00EA1682" w:rsidRDefault="009F33B4" w:rsidP="009F33B4">
      <w:pPr>
        <w:spacing w:after="0" w:line="240" w:lineRule="auto"/>
        <w:jc w:val="center"/>
        <w:rPr>
          <w:rFonts w:ascii="Times New Roman" w:hAnsi="Times New Roman" w:cs="Times New Roman"/>
          <w:b/>
          <w:color w:val="C00000"/>
          <w:sz w:val="28"/>
          <w:szCs w:val="28"/>
        </w:rPr>
      </w:pPr>
      <w:r w:rsidRPr="00EA1682">
        <w:rPr>
          <w:rFonts w:ascii="Times New Roman" w:hAnsi="Times New Roman" w:cs="Times New Roman"/>
          <w:b/>
          <w:color w:val="C00000"/>
          <w:sz w:val="28"/>
          <w:szCs w:val="28"/>
        </w:rPr>
        <w:t xml:space="preserve">5 класс </w:t>
      </w:r>
    </w:p>
    <w:p w14:paraId="79BC703B" w14:textId="77777777" w:rsidR="009F33B4" w:rsidRPr="00EA1682" w:rsidRDefault="009F33B4" w:rsidP="009F33B4">
      <w:pPr>
        <w:spacing w:after="0" w:line="240" w:lineRule="auto"/>
        <w:jc w:val="center"/>
        <w:rPr>
          <w:rFonts w:ascii="Times New Roman" w:hAnsi="Times New Roman" w:cs="Times New Roman"/>
          <w:b/>
          <w:color w:val="C00000"/>
        </w:rPr>
      </w:pPr>
      <w:r w:rsidRPr="00EA1682">
        <w:rPr>
          <w:rFonts w:ascii="Times New Roman" w:hAnsi="Times New Roman" w:cs="Times New Roman"/>
          <w:b/>
          <w:color w:val="C00000"/>
        </w:rPr>
        <w:t>2017- 2018 г</w:t>
      </w:r>
    </w:p>
    <w:p w14:paraId="4D2A6FA9" w14:textId="77777777" w:rsidR="009F33B4" w:rsidRPr="008D2CED" w:rsidRDefault="009F33B4" w:rsidP="009F33B4">
      <w:pPr>
        <w:spacing w:after="0" w:line="240" w:lineRule="auto"/>
        <w:jc w:val="center"/>
        <w:rPr>
          <w:rFonts w:ascii="Times New Roman" w:hAnsi="Times New Roman" w:cs="Times New Roman"/>
          <w:b/>
          <w:color w:val="7030A0"/>
          <w:sz w:val="18"/>
          <w:szCs w:val="18"/>
        </w:rPr>
      </w:pPr>
      <w:r w:rsidRPr="008D2CED">
        <w:rPr>
          <w:rFonts w:ascii="Times New Roman" w:hAnsi="Times New Roman" w:cs="Times New Roman"/>
          <w:b/>
          <w:color w:val="7030A0"/>
          <w:sz w:val="18"/>
          <w:szCs w:val="18"/>
        </w:rPr>
        <w:t>34 ч. в год, 1 ч. в неделю</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545"/>
        <w:gridCol w:w="4110"/>
        <w:gridCol w:w="993"/>
        <w:gridCol w:w="1417"/>
      </w:tblGrid>
      <w:tr w:rsidR="009F33B4" w:rsidRPr="00870756" w14:paraId="6F86E246" w14:textId="77777777" w:rsidTr="009F33B4">
        <w:trPr>
          <w:trHeight w:val="888"/>
        </w:trPr>
        <w:tc>
          <w:tcPr>
            <w:tcW w:w="992" w:type="dxa"/>
            <w:tcBorders>
              <w:top w:val="single" w:sz="4" w:space="0" w:color="auto"/>
              <w:left w:val="single" w:sz="4" w:space="0" w:color="auto"/>
              <w:bottom w:val="single" w:sz="4" w:space="0" w:color="auto"/>
              <w:right w:val="single" w:sz="4" w:space="0" w:color="auto"/>
            </w:tcBorders>
            <w:hideMark/>
          </w:tcPr>
          <w:p w14:paraId="700A7358" w14:textId="77777777" w:rsidR="009F33B4" w:rsidRPr="00EC7B28" w:rsidRDefault="009F33B4" w:rsidP="00054BB4">
            <w:pPr>
              <w:widowControl w:val="0"/>
              <w:spacing w:after="0" w:line="240" w:lineRule="auto"/>
              <w:ind w:firstLine="34"/>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Раздел</w:t>
            </w:r>
            <w:r w:rsidRPr="00EC7B28">
              <w:rPr>
                <w:rFonts w:ascii="Times New Roman" w:eastAsia="Times New Roman" w:hAnsi="Times New Roman" w:cs="Times New Roman"/>
                <w:b/>
                <w:color w:val="7030A0"/>
                <w:sz w:val="20"/>
                <w:szCs w:val="20"/>
                <w:lang w:val="kk-KZ" w:eastAsia="ru-RU"/>
              </w:rPr>
              <w:t>ы</w:t>
            </w:r>
            <w:r w:rsidRPr="00EC7B28">
              <w:rPr>
                <w:rFonts w:ascii="Times New Roman" w:eastAsia="Times New Roman" w:hAnsi="Times New Roman" w:cs="Times New Roman"/>
                <w:b/>
                <w:color w:val="7030A0"/>
                <w:sz w:val="20"/>
                <w:szCs w:val="20"/>
                <w:lang w:eastAsia="ru-RU"/>
              </w:rPr>
              <w:t xml:space="preserve"> </w:t>
            </w:r>
          </w:p>
        </w:tc>
        <w:tc>
          <w:tcPr>
            <w:tcW w:w="3545" w:type="dxa"/>
            <w:tcBorders>
              <w:top w:val="single" w:sz="4" w:space="0" w:color="auto"/>
              <w:left w:val="single" w:sz="4" w:space="0" w:color="auto"/>
              <w:bottom w:val="single" w:sz="4" w:space="0" w:color="auto"/>
              <w:right w:val="single" w:sz="4" w:space="0" w:color="auto"/>
            </w:tcBorders>
            <w:hideMark/>
          </w:tcPr>
          <w:p w14:paraId="5BF7E5B6" w14:textId="77777777" w:rsidR="009F33B4" w:rsidRPr="00EC7B28" w:rsidRDefault="009F33B4" w:rsidP="00054BB4">
            <w:pPr>
              <w:widowControl w:val="0"/>
              <w:spacing w:after="0" w:line="240" w:lineRule="auto"/>
              <w:ind w:right="-108"/>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Темы/Содержание раздела долгосрочного плана</w:t>
            </w:r>
          </w:p>
        </w:tc>
        <w:tc>
          <w:tcPr>
            <w:tcW w:w="4110" w:type="dxa"/>
            <w:tcBorders>
              <w:top w:val="single" w:sz="4" w:space="0" w:color="auto"/>
              <w:left w:val="single" w:sz="4" w:space="0" w:color="auto"/>
              <w:bottom w:val="single" w:sz="4" w:space="0" w:color="auto"/>
              <w:right w:val="single" w:sz="4" w:space="0" w:color="auto"/>
            </w:tcBorders>
            <w:hideMark/>
          </w:tcPr>
          <w:p w14:paraId="503462F0" w14:textId="77777777" w:rsidR="009F33B4" w:rsidRPr="00EC7B28" w:rsidRDefault="009F33B4" w:rsidP="00054BB4">
            <w:pPr>
              <w:widowControl w:val="0"/>
              <w:spacing w:after="0" w:line="240" w:lineRule="auto"/>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Цели обучения</w:t>
            </w:r>
          </w:p>
        </w:tc>
        <w:tc>
          <w:tcPr>
            <w:tcW w:w="993" w:type="dxa"/>
            <w:tcBorders>
              <w:top w:val="single" w:sz="4" w:space="0" w:color="auto"/>
              <w:left w:val="single" w:sz="4" w:space="0" w:color="auto"/>
              <w:bottom w:val="single" w:sz="4" w:space="0" w:color="auto"/>
              <w:right w:val="single" w:sz="4" w:space="0" w:color="auto"/>
            </w:tcBorders>
          </w:tcPr>
          <w:p w14:paraId="04C479A4" w14:textId="77777777" w:rsidR="009F33B4" w:rsidRPr="00EC7B28" w:rsidRDefault="009F33B4" w:rsidP="00054BB4">
            <w:pPr>
              <w:widowControl w:val="0"/>
              <w:spacing w:after="0" w:line="240" w:lineRule="auto"/>
              <w:jc w:val="center"/>
              <w:rPr>
                <w:rFonts w:ascii="Times New Roman" w:eastAsia="Times New Roman" w:hAnsi="Times New Roman" w:cs="Times New Roman"/>
                <w:b/>
                <w:color w:val="7030A0"/>
                <w:sz w:val="20"/>
                <w:szCs w:val="20"/>
                <w:lang w:eastAsia="ru-RU"/>
              </w:rPr>
            </w:pPr>
            <w:r w:rsidRPr="00EC7B28">
              <w:rPr>
                <w:rFonts w:ascii="Times New Roman" w:eastAsia="Times New Roman" w:hAnsi="Times New Roman" w:cs="Times New Roman"/>
                <w:b/>
                <w:color w:val="7030A0"/>
                <w:sz w:val="20"/>
                <w:szCs w:val="20"/>
                <w:lang w:eastAsia="ru-RU"/>
              </w:rPr>
              <w:t>к/ч</w:t>
            </w:r>
          </w:p>
          <w:p w14:paraId="007B4400" w14:textId="77777777" w:rsidR="009F33B4" w:rsidRPr="00EC7B28" w:rsidRDefault="009F33B4" w:rsidP="00054BB4">
            <w:pPr>
              <w:widowControl w:val="0"/>
              <w:spacing w:after="0" w:line="240" w:lineRule="auto"/>
              <w:jc w:val="center"/>
              <w:rPr>
                <w:rFonts w:ascii="Times New Roman" w:eastAsia="Times New Roman" w:hAnsi="Times New Roman" w:cs="Times New Roman"/>
                <w:b/>
                <w:color w:val="7030A0"/>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13EC690D" w14:textId="77777777" w:rsidR="009F33B4" w:rsidRPr="00EC7B28" w:rsidRDefault="009F33B4" w:rsidP="00054BB4">
            <w:pPr>
              <w:spacing w:after="0"/>
              <w:rPr>
                <w:rFonts w:ascii="Times New Roman" w:hAnsi="Times New Roman" w:cs="Times New Roman"/>
                <w:b/>
                <w:sz w:val="20"/>
                <w:szCs w:val="20"/>
                <w:lang w:val="kk-KZ"/>
              </w:rPr>
            </w:pPr>
          </w:p>
        </w:tc>
      </w:tr>
      <w:tr w:rsidR="009F33B4" w:rsidRPr="00870756" w14:paraId="48A27833" w14:textId="77777777" w:rsidTr="009F33B4">
        <w:trPr>
          <w:trHeight w:val="179"/>
        </w:trPr>
        <w:tc>
          <w:tcPr>
            <w:tcW w:w="9640" w:type="dxa"/>
            <w:gridSpan w:val="4"/>
            <w:tcBorders>
              <w:top w:val="single" w:sz="4" w:space="0" w:color="auto"/>
              <w:left w:val="single" w:sz="4" w:space="0" w:color="auto"/>
              <w:bottom w:val="single" w:sz="4" w:space="0" w:color="auto"/>
              <w:right w:val="single" w:sz="4" w:space="0" w:color="auto"/>
            </w:tcBorders>
            <w:hideMark/>
          </w:tcPr>
          <w:p w14:paraId="24A398DF" w14:textId="77777777" w:rsidR="009F33B4" w:rsidRPr="00EC7B28" w:rsidRDefault="009F33B4" w:rsidP="00054BB4">
            <w:pPr>
              <w:widowControl w:val="0"/>
              <w:spacing w:after="0" w:line="240" w:lineRule="auto"/>
              <w:ind w:left="20"/>
              <w:jc w:val="center"/>
              <w:rPr>
                <w:rFonts w:ascii="Times New Roman" w:eastAsia="Times New Roman" w:hAnsi="Times New Roman" w:cs="Times New Roman"/>
                <w:b/>
                <w:sz w:val="20"/>
                <w:szCs w:val="20"/>
                <w:lang w:eastAsia="ru-RU"/>
              </w:rPr>
            </w:pPr>
            <w:r w:rsidRPr="00EC7B28">
              <w:rPr>
                <w:rFonts w:ascii="Times New Roman" w:eastAsia="Times New Roman" w:hAnsi="Times New Roman" w:cs="Times New Roman"/>
                <w:b/>
                <w:color w:val="C00000"/>
                <w:sz w:val="20"/>
                <w:szCs w:val="20"/>
                <w:lang w:eastAsia="ru-RU"/>
              </w:rPr>
              <w:t xml:space="preserve">1-я четверть </w:t>
            </w:r>
          </w:p>
        </w:tc>
        <w:tc>
          <w:tcPr>
            <w:tcW w:w="1417" w:type="dxa"/>
            <w:tcBorders>
              <w:top w:val="single" w:sz="4" w:space="0" w:color="auto"/>
              <w:left w:val="single" w:sz="4" w:space="0" w:color="auto"/>
              <w:bottom w:val="single" w:sz="4" w:space="0" w:color="auto"/>
              <w:right w:val="single" w:sz="4" w:space="0" w:color="auto"/>
            </w:tcBorders>
          </w:tcPr>
          <w:p w14:paraId="332C616E" w14:textId="77777777" w:rsidR="009F33B4" w:rsidRPr="00EC7B28" w:rsidRDefault="009F33B4" w:rsidP="00054BB4">
            <w:pPr>
              <w:widowControl w:val="0"/>
              <w:spacing w:after="0" w:line="240" w:lineRule="auto"/>
              <w:jc w:val="center"/>
              <w:rPr>
                <w:rFonts w:ascii="Times New Roman" w:eastAsia="Times New Roman" w:hAnsi="Times New Roman" w:cs="Times New Roman"/>
                <w:b/>
                <w:sz w:val="20"/>
                <w:szCs w:val="20"/>
                <w:lang w:eastAsia="ru-RU"/>
              </w:rPr>
            </w:pPr>
          </w:p>
        </w:tc>
      </w:tr>
      <w:tr w:rsidR="009F33B4" w:rsidRPr="00061231" w14:paraId="2478792F" w14:textId="77777777" w:rsidTr="009F33B4">
        <w:trPr>
          <w:trHeight w:val="1591"/>
        </w:trPr>
        <w:tc>
          <w:tcPr>
            <w:tcW w:w="992" w:type="dxa"/>
            <w:vMerge w:val="restart"/>
            <w:tcBorders>
              <w:top w:val="single" w:sz="4" w:space="0" w:color="auto"/>
              <w:left w:val="single" w:sz="4" w:space="0" w:color="auto"/>
              <w:right w:val="single" w:sz="4" w:space="0" w:color="auto"/>
            </w:tcBorders>
            <w:textDirection w:val="tbRl"/>
          </w:tcPr>
          <w:p w14:paraId="1BEA220F" w14:textId="77777777" w:rsidR="009F33B4" w:rsidRPr="00EC7B28" w:rsidRDefault="009F33B4" w:rsidP="00054BB4">
            <w:pPr>
              <w:widowControl w:val="0"/>
              <w:spacing w:after="0" w:line="240" w:lineRule="auto"/>
              <w:ind w:left="113" w:right="113"/>
              <w:jc w:val="both"/>
              <w:rPr>
                <w:rFonts w:ascii="Times New Roman" w:eastAsia="Calibri" w:hAnsi="Times New Roman" w:cs="Times New Roman"/>
                <w:b/>
                <w:color w:val="FF0000"/>
                <w:sz w:val="20"/>
                <w:szCs w:val="20"/>
                <w:lang w:val="kk-KZ"/>
              </w:rPr>
            </w:pPr>
            <w:r w:rsidRPr="00EC7B28">
              <w:rPr>
                <w:rFonts w:ascii="Times New Roman" w:eastAsia="Calibri" w:hAnsi="Times New Roman" w:cs="Times New Roman"/>
                <w:b/>
                <w:color w:val="FF0000"/>
                <w:sz w:val="20"/>
                <w:szCs w:val="20"/>
                <w:lang w:val="kk-KZ"/>
              </w:rPr>
              <w:t xml:space="preserve">Музыкальное наследие казахского народа </w:t>
            </w:r>
          </w:p>
          <w:p w14:paraId="002951A6" w14:textId="77777777" w:rsidR="009F33B4" w:rsidRPr="00EC7B28" w:rsidRDefault="009F33B4" w:rsidP="00054BB4">
            <w:pPr>
              <w:widowControl w:val="0"/>
              <w:spacing w:after="0" w:line="240" w:lineRule="auto"/>
              <w:ind w:left="113" w:right="113"/>
              <w:jc w:val="both"/>
              <w:rPr>
                <w:rFonts w:ascii="Times New Roman" w:eastAsia="Calibri" w:hAnsi="Times New Roman" w:cs="Times New Roman"/>
                <w:b/>
                <w:color w:val="FF0000"/>
                <w:sz w:val="20"/>
                <w:szCs w:val="20"/>
                <w:lang w:val="kk-KZ"/>
              </w:rPr>
            </w:pPr>
            <w:r w:rsidRPr="00EC7B28">
              <w:rPr>
                <w:rFonts w:ascii="Times New Roman" w:eastAsia="Calibri" w:hAnsi="Times New Roman" w:cs="Times New Roman"/>
                <w:b/>
                <w:color w:val="FF0000"/>
                <w:sz w:val="20"/>
                <w:szCs w:val="20"/>
                <w:lang w:val="kk-KZ"/>
              </w:rPr>
              <w:t>(9 часов)</w:t>
            </w:r>
          </w:p>
          <w:p w14:paraId="4C2E099F" w14:textId="77777777" w:rsidR="009F33B4" w:rsidRPr="00EC7B28" w:rsidRDefault="009F33B4" w:rsidP="00054BB4">
            <w:pPr>
              <w:widowControl w:val="0"/>
              <w:spacing w:after="0" w:line="240" w:lineRule="auto"/>
              <w:ind w:left="113" w:right="-108"/>
              <w:contextualSpacing/>
              <w:rPr>
                <w:rFonts w:ascii="Times New Roman" w:eastAsia="Times New Roman" w:hAnsi="Times New Roman" w:cs="Times New Roman"/>
                <w:sz w:val="20"/>
                <w:szCs w:val="20"/>
                <w:lang w:eastAsia="ru-RU"/>
              </w:rPr>
            </w:pPr>
          </w:p>
        </w:tc>
        <w:tc>
          <w:tcPr>
            <w:tcW w:w="3545" w:type="dxa"/>
            <w:vMerge w:val="restart"/>
            <w:tcBorders>
              <w:top w:val="single" w:sz="4" w:space="0" w:color="auto"/>
              <w:left w:val="single" w:sz="4" w:space="0" w:color="auto"/>
              <w:right w:val="single" w:sz="4" w:space="0" w:color="auto"/>
            </w:tcBorders>
          </w:tcPr>
          <w:p w14:paraId="1D33FB12" w14:textId="77777777" w:rsidR="009F33B4" w:rsidRPr="00EC7B28" w:rsidRDefault="009F33B4" w:rsidP="00054BB4">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1*2-3</w:t>
            </w:r>
          </w:p>
          <w:p w14:paraId="6E33AF63" w14:textId="77777777" w:rsidR="009F33B4" w:rsidRPr="00EC7B28" w:rsidRDefault="009F33B4" w:rsidP="00054BB4">
            <w:pPr>
              <w:spacing w:after="0"/>
              <w:jc w:val="both"/>
              <w:rPr>
                <w:rFonts w:ascii="Times New Roman" w:hAnsi="Times New Roman" w:cs="Times New Roman"/>
                <w:b/>
                <w:sz w:val="20"/>
                <w:szCs w:val="20"/>
                <w:lang w:val="kk-KZ"/>
              </w:rPr>
            </w:pPr>
            <w:r w:rsidRPr="00EC7B28">
              <w:rPr>
                <w:rFonts w:ascii="Times New Roman" w:hAnsi="Times New Roman" w:cs="Times New Roman"/>
                <w:b/>
                <w:color w:val="7030A0"/>
                <w:sz w:val="20"/>
                <w:szCs w:val="20"/>
                <w:lang w:val="kk-KZ"/>
              </w:rPr>
              <w:t xml:space="preserve">Мелодичность казахской народной песни </w:t>
            </w:r>
          </w:p>
        </w:tc>
        <w:tc>
          <w:tcPr>
            <w:tcW w:w="4110" w:type="dxa"/>
            <w:tcBorders>
              <w:top w:val="single" w:sz="4" w:space="0" w:color="auto"/>
              <w:left w:val="single" w:sz="4" w:space="0" w:color="auto"/>
              <w:right w:val="single" w:sz="4" w:space="0" w:color="auto"/>
            </w:tcBorders>
          </w:tcPr>
          <w:p w14:paraId="4FDC5E9A" w14:textId="77777777" w:rsidR="009F33B4" w:rsidRPr="00EC7B28" w:rsidRDefault="009F33B4" w:rsidP="00054BB4">
            <w:pPr>
              <w:spacing w:after="0" w:line="240" w:lineRule="auto"/>
              <w:jc w:val="both"/>
              <w:rPr>
                <w:rFonts w:ascii="Times New Roman" w:hAnsi="Times New Roman" w:cs="Times New Roman"/>
                <w:sz w:val="20"/>
                <w:szCs w:val="20"/>
                <w:lang w:val="kk-KZ"/>
              </w:rPr>
            </w:pPr>
            <w:r w:rsidRPr="00EC7B28">
              <w:rPr>
                <w:rFonts w:ascii="Times New Roman" w:hAnsi="Times New Roman" w:cs="Times New Roman"/>
                <w:sz w:val="20"/>
                <w:szCs w:val="20"/>
              </w:rPr>
              <w:t xml:space="preserve">5.1.1.1 – </w:t>
            </w:r>
            <w:r w:rsidRPr="00EC7B28">
              <w:rPr>
                <w:rFonts w:ascii="Times New Roman" w:eastAsia="Arial" w:hAnsi="Times New Roman" w:cs="Times New Roman"/>
                <w:bCs/>
                <w:sz w:val="20"/>
                <w:szCs w:val="20"/>
              </w:rPr>
              <w:t>анализировать прослушанные музыкальные произведения, определять вид, стиль, жанр и средства музыкальной выразительности;</w:t>
            </w:r>
          </w:p>
          <w:p w14:paraId="54261AAD" w14:textId="77777777" w:rsidR="009F33B4" w:rsidRPr="00EC7B28" w:rsidRDefault="009F33B4" w:rsidP="00054BB4">
            <w:pPr>
              <w:spacing w:after="0" w:line="240" w:lineRule="auto"/>
              <w:jc w:val="both"/>
              <w:rPr>
                <w:rFonts w:ascii="Times New Roman" w:hAnsi="Times New Roman" w:cs="Times New Roman"/>
                <w:sz w:val="20"/>
                <w:szCs w:val="20"/>
                <w:lang w:val="kk-KZ"/>
              </w:rPr>
            </w:pPr>
            <w:r w:rsidRPr="00EC7B28">
              <w:rPr>
                <w:rFonts w:ascii="Times New Roman" w:hAnsi="Times New Roman" w:cs="Times New Roman"/>
                <w:sz w:val="20"/>
                <w:szCs w:val="20"/>
              </w:rPr>
              <w:t xml:space="preserve">5.1.2.1 – определять традиционные песенные, инструментальные стили и жанры виды </w:t>
            </w:r>
            <w:proofErr w:type="spellStart"/>
            <w:r w:rsidRPr="00EC7B28">
              <w:rPr>
                <w:rFonts w:ascii="Times New Roman" w:hAnsi="Times New Roman" w:cs="Times New Roman"/>
                <w:sz w:val="20"/>
                <w:szCs w:val="20"/>
              </w:rPr>
              <w:t>айтысов</w:t>
            </w:r>
            <w:proofErr w:type="spellEnd"/>
            <w:r w:rsidRPr="00EC7B28">
              <w:rPr>
                <w:rFonts w:ascii="Times New Roman" w:hAnsi="Times New Roman" w:cs="Times New Roman"/>
                <w:sz w:val="20"/>
                <w:szCs w:val="20"/>
              </w:rPr>
              <w:t>,</w:t>
            </w:r>
          </w:p>
        </w:tc>
        <w:tc>
          <w:tcPr>
            <w:tcW w:w="993" w:type="dxa"/>
            <w:tcBorders>
              <w:top w:val="single" w:sz="4" w:space="0" w:color="auto"/>
              <w:left w:val="single" w:sz="4" w:space="0" w:color="auto"/>
              <w:right w:val="single" w:sz="4" w:space="0" w:color="auto"/>
            </w:tcBorders>
          </w:tcPr>
          <w:p w14:paraId="54DA4BCB" w14:textId="77777777" w:rsidR="009F33B4" w:rsidRPr="00EC7B28" w:rsidRDefault="009F33B4" w:rsidP="00054BB4">
            <w:pPr>
              <w:widowControl w:val="0"/>
              <w:spacing w:after="0" w:line="240" w:lineRule="auto"/>
              <w:contextualSpacing/>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1</w:t>
            </w:r>
          </w:p>
        </w:tc>
        <w:tc>
          <w:tcPr>
            <w:tcW w:w="1417" w:type="dxa"/>
            <w:tcBorders>
              <w:top w:val="single" w:sz="4" w:space="0" w:color="auto"/>
              <w:left w:val="single" w:sz="4" w:space="0" w:color="auto"/>
              <w:right w:val="single" w:sz="4" w:space="0" w:color="auto"/>
            </w:tcBorders>
          </w:tcPr>
          <w:p w14:paraId="559A88A1" w14:textId="77777777" w:rsidR="009F33B4" w:rsidRPr="00EC7B28" w:rsidRDefault="009F33B4" w:rsidP="00054BB4">
            <w:pPr>
              <w:pStyle w:val="a5"/>
              <w:spacing w:line="276" w:lineRule="auto"/>
              <w:rPr>
                <w:rFonts w:ascii="Times New Roman" w:hAnsi="Times New Roman" w:cs="Times New Roman"/>
                <w:sz w:val="20"/>
                <w:szCs w:val="20"/>
                <w:lang w:val="ru-RU"/>
              </w:rPr>
            </w:pPr>
          </w:p>
        </w:tc>
      </w:tr>
      <w:tr w:rsidR="009F33B4" w:rsidRPr="00061231" w14:paraId="110D1FE6" w14:textId="77777777" w:rsidTr="009F33B4">
        <w:trPr>
          <w:trHeight w:val="1088"/>
        </w:trPr>
        <w:tc>
          <w:tcPr>
            <w:tcW w:w="992" w:type="dxa"/>
            <w:vMerge/>
            <w:tcBorders>
              <w:left w:val="single" w:sz="4" w:space="0" w:color="auto"/>
              <w:right w:val="single" w:sz="4" w:space="0" w:color="auto"/>
            </w:tcBorders>
          </w:tcPr>
          <w:p w14:paraId="3CCDBABE" w14:textId="77777777" w:rsidR="009F33B4" w:rsidRPr="00EC7B28" w:rsidRDefault="009F33B4" w:rsidP="00054BB4">
            <w:pPr>
              <w:widowControl w:val="0"/>
              <w:spacing w:after="0" w:line="240" w:lineRule="auto"/>
              <w:jc w:val="both"/>
              <w:rPr>
                <w:rFonts w:ascii="Times New Roman" w:eastAsia="Calibri" w:hAnsi="Times New Roman" w:cs="Times New Roman"/>
                <w:b/>
                <w:sz w:val="20"/>
                <w:szCs w:val="20"/>
                <w:lang w:val="kk-KZ"/>
              </w:rPr>
            </w:pPr>
          </w:p>
        </w:tc>
        <w:tc>
          <w:tcPr>
            <w:tcW w:w="3545" w:type="dxa"/>
            <w:vMerge/>
            <w:tcBorders>
              <w:left w:val="single" w:sz="4" w:space="0" w:color="auto"/>
              <w:right w:val="single" w:sz="4" w:space="0" w:color="auto"/>
            </w:tcBorders>
          </w:tcPr>
          <w:p w14:paraId="3B81ED7B" w14:textId="77777777" w:rsidR="009F33B4" w:rsidRPr="00EC7B28" w:rsidRDefault="009F33B4" w:rsidP="00054BB4">
            <w:pPr>
              <w:spacing w:after="0"/>
              <w:jc w:val="both"/>
              <w:rPr>
                <w:rFonts w:ascii="Times New Roman" w:hAnsi="Times New Roman" w:cs="Times New Roman"/>
                <w:sz w:val="20"/>
                <w:szCs w:val="20"/>
                <w:lang w:val="kk-KZ"/>
              </w:rPr>
            </w:pPr>
          </w:p>
        </w:tc>
        <w:tc>
          <w:tcPr>
            <w:tcW w:w="4110" w:type="dxa"/>
            <w:vMerge w:val="restart"/>
            <w:tcBorders>
              <w:left w:val="single" w:sz="4" w:space="0" w:color="auto"/>
              <w:right w:val="single" w:sz="4" w:space="0" w:color="auto"/>
            </w:tcBorders>
          </w:tcPr>
          <w:p w14:paraId="02805517" w14:textId="77777777" w:rsidR="009F33B4" w:rsidRPr="00EC7B28" w:rsidRDefault="009F33B4" w:rsidP="00054BB4">
            <w:pPr>
              <w:spacing w:after="0" w:line="240" w:lineRule="auto"/>
              <w:jc w:val="both"/>
              <w:rPr>
                <w:rFonts w:ascii="Times New Roman" w:hAnsi="Times New Roman" w:cs="Times New Roman"/>
                <w:sz w:val="20"/>
                <w:szCs w:val="20"/>
              </w:rPr>
            </w:pPr>
            <w:r w:rsidRPr="00EC7B28">
              <w:rPr>
                <w:rFonts w:ascii="Times New Roman" w:hAnsi="Times New Roman" w:cs="Times New Roman"/>
                <w:sz w:val="20"/>
                <w:szCs w:val="20"/>
              </w:rPr>
              <w:t xml:space="preserve"> </w:t>
            </w:r>
          </w:p>
          <w:p w14:paraId="104CF8D3" w14:textId="77777777" w:rsidR="009F33B4" w:rsidRPr="00EC7B28" w:rsidRDefault="009F33B4" w:rsidP="00054BB4">
            <w:pPr>
              <w:pStyle w:val="NESTableText"/>
              <w:rPr>
                <w:sz w:val="20"/>
                <w:szCs w:val="20"/>
                <w:lang w:val="kk-KZ"/>
              </w:rPr>
            </w:pPr>
            <w:r w:rsidRPr="00EC7B28">
              <w:rPr>
                <w:sz w:val="20"/>
                <w:szCs w:val="20"/>
              </w:rPr>
              <w:t>5.1.2.3 – определять особенности музыкальных традиций казахского народа, других народов мира</w:t>
            </w:r>
            <w:r w:rsidRPr="00EC7B28">
              <w:rPr>
                <w:sz w:val="20"/>
                <w:szCs w:val="20"/>
                <w:lang w:val="kk-KZ"/>
              </w:rPr>
              <w:t>;</w:t>
            </w:r>
          </w:p>
          <w:p w14:paraId="73F2633C" w14:textId="77777777" w:rsidR="009F33B4" w:rsidRPr="00EC7B28" w:rsidRDefault="009F33B4" w:rsidP="00054BB4">
            <w:pPr>
              <w:pStyle w:val="NESTableText"/>
              <w:rPr>
                <w:sz w:val="20"/>
                <w:szCs w:val="20"/>
              </w:rPr>
            </w:pPr>
            <w:r w:rsidRPr="00EC7B28">
              <w:rPr>
                <w:color w:val="auto"/>
                <w:sz w:val="20"/>
                <w:szCs w:val="20"/>
              </w:rPr>
              <w:t>5.1.3.1</w:t>
            </w:r>
            <w:r w:rsidRPr="00EC7B28">
              <w:rPr>
                <w:color w:val="auto"/>
                <w:sz w:val="20"/>
                <w:szCs w:val="20"/>
                <w:lang w:val="kk-KZ"/>
              </w:rPr>
              <w:t xml:space="preserve"> – передавать художественный образ и характер музыки при исполнении различных песен; </w:t>
            </w:r>
          </w:p>
        </w:tc>
        <w:tc>
          <w:tcPr>
            <w:tcW w:w="993" w:type="dxa"/>
            <w:tcBorders>
              <w:top w:val="single" w:sz="4" w:space="0" w:color="auto"/>
              <w:left w:val="single" w:sz="4" w:space="0" w:color="auto"/>
              <w:right w:val="single" w:sz="4" w:space="0" w:color="auto"/>
            </w:tcBorders>
          </w:tcPr>
          <w:p w14:paraId="34D5E890" w14:textId="77777777" w:rsidR="009F33B4" w:rsidRPr="00EC7B28" w:rsidRDefault="009F33B4" w:rsidP="00054BB4">
            <w:pPr>
              <w:widowControl w:val="0"/>
              <w:spacing w:after="0" w:line="240" w:lineRule="auto"/>
              <w:contextualSpacing/>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2</w:t>
            </w:r>
          </w:p>
        </w:tc>
        <w:tc>
          <w:tcPr>
            <w:tcW w:w="1417" w:type="dxa"/>
            <w:vMerge w:val="restart"/>
            <w:tcBorders>
              <w:top w:val="single" w:sz="4" w:space="0" w:color="auto"/>
              <w:left w:val="single" w:sz="4" w:space="0" w:color="auto"/>
              <w:right w:val="single" w:sz="4" w:space="0" w:color="auto"/>
            </w:tcBorders>
          </w:tcPr>
          <w:p w14:paraId="0D47A838" w14:textId="77777777" w:rsidR="009F33B4" w:rsidRPr="00EC7B28" w:rsidRDefault="009F33B4" w:rsidP="00054BB4">
            <w:pPr>
              <w:pStyle w:val="a5"/>
              <w:rPr>
                <w:rFonts w:ascii="Times New Roman" w:hAnsi="Times New Roman" w:cs="Times New Roman"/>
                <w:sz w:val="20"/>
                <w:szCs w:val="20"/>
                <w:lang w:val="kk-KZ"/>
              </w:rPr>
            </w:pPr>
          </w:p>
        </w:tc>
      </w:tr>
      <w:tr w:rsidR="009F33B4" w:rsidRPr="00061231" w14:paraId="5B249AE9" w14:textId="77777777" w:rsidTr="009F33B4">
        <w:trPr>
          <w:trHeight w:val="446"/>
        </w:trPr>
        <w:tc>
          <w:tcPr>
            <w:tcW w:w="992" w:type="dxa"/>
            <w:vMerge/>
            <w:tcBorders>
              <w:left w:val="single" w:sz="4" w:space="0" w:color="auto"/>
              <w:right w:val="single" w:sz="4" w:space="0" w:color="auto"/>
            </w:tcBorders>
          </w:tcPr>
          <w:p w14:paraId="3F8D6CD5" w14:textId="77777777" w:rsidR="009F33B4" w:rsidRPr="00EC7B28" w:rsidRDefault="009F33B4" w:rsidP="00054BB4">
            <w:pPr>
              <w:widowControl w:val="0"/>
              <w:spacing w:after="0" w:line="240" w:lineRule="auto"/>
              <w:jc w:val="both"/>
              <w:rPr>
                <w:rFonts w:ascii="Times New Roman" w:eastAsia="Calibri" w:hAnsi="Times New Roman" w:cs="Times New Roman"/>
                <w:b/>
                <w:sz w:val="20"/>
                <w:szCs w:val="20"/>
                <w:lang w:val="kk-KZ"/>
              </w:rPr>
            </w:pPr>
          </w:p>
        </w:tc>
        <w:tc>
          <w:tcPr>
            <w:tcW w:w="3545" w:type="dxa"/>
            <w:vMerge/>
            <w:tcBorders>
              <w:left w:val="single" w:sz="4" w:space="0" w:color="auto"/>
              <w:right w:val="single" w:sz="4" w:space="0" w:color="auto"/>
            </w:tcBorders>
          </w:tcPr>
          <w:p w14:paraId="2F94FCA6" w14:textId="77777777" w:rsidR="009F33B4" w:rsidRPr="00EC7B28" w:rsidRDefault="009F33B4" w:rsidP="00054BB4">
            <w:pPr>
              <w:spacing w:after="0"/>
              <w:jc w:val="both"/>
              <w:rPr>
                <w:rFonts w:ascii="Times New Roman" w:hAnsi="Times New Roman" w:cs="Times New Roman"/>
                <w:sz w:val="20"/>
                <w:szCs w:val="20"/>
                <w:lang w:val="kk-KZ"/>
              </w:rPr>
            </w:pPr>
          </w:p>
        </w:tc>
        <w:tc>
          <w:tcPr>
            <w:tcW w:w="4110" w:type="dxa"/>
            <w:vMerge/>
            <w:tcBorders>
              <w:left w:val="single" w:sz="4" w:space="0" w:color="auto"/>
              <w:right w:val="single" w:sz="4" w:space="0" w:color="auto"/>
            </w:tcBorders>
          </w:tcPr>
          <w:p w14:paraId="01AD3AE9" w14:textId="77777777" w:rsidR="009F33B4" w:rsidRPr="00EC7B28" w:rsidRDefault="009F33B4" w:rsidP="00054BB4">
            <w:pPr>
              <w:spacing w:after="0" w:line="240" w:lineRule="auto"/>
              <w:jc w:val="both"/>
              <w:rPr>
                <w:rFonts w:ascii="Times New Roman" w:hAnsi="Times New Roman" w:cs="Times New Roman"/>
                <w:sz w:val="20"/>
                <w:szCs w:val="20"/>
              </w:rPr>
            </w:pPr>
          </w:p>
        </w:tc>
        <w:tc>
          <w:tcPr>
            <w:tcW w:w="993" w:type="dxa"/>
            <w:tcBorders>
              <w:left w:val="single" w:sz="4" w:space="0" w:color="auto"/>
              <w:right w:val="single" w:sz="4" w:space="0" w:color="auto"/>
            </w:tcBorders>
          </w:tcPr>
          <w:p w14:paraId="6DB99E82" w14:textId="77777777" w:rsidR="009F33B4" w:rsidRPr="00EC7B28" w:rsidRDefault="009F33B4" w:rsidP="00054BB4">
            <w:pPr>
              <w:widowControl w:val="0"/>
              <w:spacing w:after="0" w:line="240" w:lineRule="auto"/>
              <w:contextualSpacing/>
              <w:rPr>
                <w:rFonts w:ascii="Times New Roman" w:eastAsia="Times New Roman" w:hAnsi="Times New Roman" w:cs="Times New Roman"/>
                <w:sz w:val="20"/>
                <w:szCs w:val="20"/>
                <w:lang w:val="kk-KZ" w:eastAsia="ru-RU"/>
              </w:rPr>
            </w:pPr>
          </w:p>
        </w:tc>
        <w:tc>
          <w:tcPr>
            <w:tcW w:w="1417" w:type="dxa"/>
            <w:vMerge/>
            <w:tcBorders>
              <w:left w:val="single" w:sz="4" w:space="0" w:color="auto"/>
              <w:right w:val="single" w:sz="4" w:space="0" w:color="auto"/>
            </w:tcBorders>
          </w:tcPr>
          <w:p w14:paraId="0502E555" w14:textId="77777777" w:rsidR="009F33B4" w:rsidRPr="00EC7B28" w:rsidRDefault="009F33B4" w:rsidP="00054BB4">
            <w:pPr>
              <w:pStyle w:val="a5"/>
              <w:rPr>
                <w:rFonts w:ascii="Times New Roman" w:hAnsi="Times New Roman" w:cs="Times New Roman"/>
                <w:sz w:val="20"/>
                <w:szCs w:val="20"/>
                <w:lang w:val="kk-KZ"/>
              </w:rPr>
            </w:pPr>
          </w:p>
        </w:tc>
      </w:tr>
      <w:tr w:rsidR="009F33B4" w:rsidRPr="00061231" w14:paraId="339AF3A2" w14:textId="77777777" w:rsidTr="009F33B4">
        <w:trPr>
          <w:trHeight w:val="1527"/>
        </w:trPr>
        <w:tc>
          <w:tcPr>
            <w:tcW w:w="992" w:type="dxa"/>
            <w:vMerge/>
            <w:tcBorders>
              <w:left w:val="single" w:sz="4" w:space="0" w:color="auto"/>
              <w:right w:val="single" w:sz="4" w:space="0" w:color="auto"/>
            </w:tcBorders>
          </w:tcPr>
          <w:p w14:paraId="2657BCDB" w14:textId="77777777" w:rsidR="009F33B4" w:rsidRPr="00EC7B28" w:rsidRDefault="009F33B4" w:rsidP="00054BB4">
            <w:pPr>
              <w:widowControl w:val="0"/>
              <w:spacing w:after="0" w:line="240" w:lineRule="auto"/>
              <w:rPr>
                <w:rFonts w:ascii="Times New Roman" w:eastAsia="Times New Roman" w:hAnsi="Times New Roman" w:cs="Times New Roman"/>
                <w:sz w:val="20"/>
                <w:szCs w:val="20"/>
                <w:lang w:eastAsia="ru-RU"/>
              </w:rPr>
            </w:pPr>
          </w:p>
        </w:tc>
        <w:tc>
          <w:tcPr>
            <w:tcW w:w="3545" w:type="dxa"/>
            <w:vMerge w:val="restart"/>
            <w:tcBorders>
              <w:top w:val="single" w:sz="4" w:space="0" w:color="auto"/>
              <w:left w:val="single" w:sz="4" w:space="0" w:color="auto"/>
              <w:right w:val="single" w:sz="4" w:space="0" w:color="auto"/>
            </w:tcBorders>
          </w:tcPr>
          <w:p w14:paraId="0EF4D9BB" w14:textId="77777777" w:rsidR="009F33B4" w:rsidRPr="00EC7B28" w:rsidRDefault="009F33B4" w:rsidP="00054BB4">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4-5</w:t>
            </w:r>
          </w:p>
          <w:p w14:paraId="625188F0" w14:textId="77777777" w:rsidR="009F33B4" w:rsidRPr="00EC7B28" w:rsidRDefault="009F33B4" w:rsidP="00054BB4">
            <w:pPr>
              <w:spacing w:after="0"/>
              <w:jc w:val="both"/>
              <w:rPr>
                <w:rFonts w:ascii="Times New Roman" w:hAnsi="Times New Roman" w:cs="Times New Roman"/>
                <w:b/>
                <w:sz w:val="20"/>
                <w:szCs w:val="20"/>
                <w:lang w:val="kk-KZ"/>
              </w:rPr>
            </w:pPr>
            <w:r w:rsidRPr="00EC7B28">
              <w:rPr>
                <w:rFonts w:ascii="Times New Roman" w:hAnsi="Times New Roman" w:cs="Times New Roman"/>
                <w:b/>
                <w:color w:val="7030A0"/>
                <w:sz w:val="20"/>
                <w:szCs w:val="20"/>
                <w:lang w:val="kk-KZ"/>
              </w:rPr>
              <w:t xml:space="preserve">Искусство айтыса </w:t>
            </w:r>
          </w:p>
        </w:tc>
        <w:tc>
          <w:tcPr>
            <w:tcW w:w="4110" w:type="dxa"/>
            <w:vMerge w:val="restart"/>
            <w:tcBorders>
              <w:top w:val="single" w:sz="4" w:space="0" w:color="auto"/>
              <w:left w:val="single" w:sz="4" w:space="0" w:color="auto"/>
              <w:right w:val="single" w:sz="4" w:space="0" w:color="auto"/>
            </w:tcBorders>
          </w:tcPr>
          <w:p w14:paraId="6CFF4D41" w14:textId="77777777" w:rsidR="009F33B4" w:rsidRPr="00EC7B28" w:rsidRDefault="009F33B4" w:rsidP="00054BB4">
            <w:pPr>
              <w:spacing w:after="0"/>
              <w:jc w:val="both"/>
              <w:rPr>
                <w:rFonts w:ascii="Times New Roman" w:hAnsi="Times New Roman" w:cs="Times New Roman"/>
                <w:sz w:val="20"/>
                <w:szCs w:val="20"/>
                <w:lang w:val="kk-KZ"/>
              </w:rPr>
            </w:pPr>
            <w:r w:rsidRPr="00EC7B28">
              <w:rPr>
                <w:rFonts w:ascii="Times New Roman" w:hAnsi="Times New Roman" w:cs="Times New Roman"/>
                <w:sz w:val="20"/>
                <w:szCs w:val="20"/>
                <w:lang w:val="kk-KZ"/>
              </w:rPr>
              <w:t>5.1.2.1</w:t>
            </w:r>
            <w:r w:rsidRPr="00EC7B28">
              <w:rPr>
                <w:rFonts w:ascii="Times New Roman" w:hAnsi="Times New Roman" w:cs="Times New Roman"/>
                <w:sz w:val="20"/>
                <w:szCs w:val="20"/>
              </w:rPr>
              <w:t xml:space="preserve"> – определять традиционные песенные, инструментальные стили и жанры, виды </w:t>
            </w:r>
            <w:proofErr w:type="spellStart"/>
            <w:r w:rsidRPr="00EC7B28">
              <w:rPr>
                <w:rFonts w:ascii="Times New Roman" w:hAnsi="Times New Roman" w:cs="Times New Roman"/>
                <w:sz w:val="20"/>
                <w:szCs w:val="20"/>
              </w:rPr>
              <w:t>айтысов</w:t>
            </w:r>
            <w:proofErr w:type="spellEnd"/>
            <w:r w:rsidRPr="00EC7B28">
              <w:rPr>
                <w:rFonts w:ascii="Times New Roman" w:hAnsi="Times New Roman" w:cs="Times New Roman"/>
                <w:sz w:val="20"/>
                <w:szCs w:val="20"/>
              </w:rPr>
              <w:t>;</w:t>
            </w:r>
          </w:p>
          <w:p w14:paraId="1943B04D" w14:textId="77777777" w:rsidR="009F33B4" w:rsidRPr="00EC7B28" w:rsidRDefault="009F33B4" w:rsidP="00054BB4">
            <w:pPr>
              <w:spacing w:after="0"/>
              <w:jc w:val="both"/>
              <w:rPr>
                <w:rFonts w:ascii="Times New Roman" w:hAnsi="Times New Roman" w:cs="Times New Roman"/>
                <w:sz w:val="20"/>
                <w:szCs w:val="20"/>
                <w:lang w:val="kk-KZ"/>
              </w:rPr>
            </w:pPr>
            <w:r w:rsidRPr="00EC7B28">
              <w:rPr>
                <w:rFonts w:ascii="Times New Roman" w:hAnsi="Times New Roman" w:cs="Times New Roman"/>
                <w:sz w:val="20"/>
                <w:szCs w:val="20"/>
                <w:lang w:val="kk-KZ"/>
              </w:rPr>
              <w:t>5.1.2.2 –</w:t>
            </w:r>
            <w:r w:rsidRPr="00EC7B28">
              <w:rPr>
                <w:rFonts w:ascii="Times New Roman" w:hAnsi="Times New Roman" w:cs="Times New Roman"/>
                <w:sz w:val="20"/>
                <w:szCs w:val="20"/>
              </w:rPr>
              <w:t xml:space="preserve"> сравнивать традиционные певческие школы и творчество композиторов устной традиции;</w:t>
            </w:r>
          </w:p>
          <w:p w14:paraId="54CF2CD9" w14:textId="77777777" w:rsidR="009F33B4" w:rsidRPr="00EC7B28" w:rsidRDefault="009F33B4" w:rsidP="00054BB4">
            <w:pPr>
              <w:pStyle w:val="NESTableText"/>
              <w:rPr>
                <w:color w:val="auto"/>
                <w:sz w:val="20"/>
                <w:szCs w:val="20"/>
                <w:lang w:val="kk-KZ"/>
              </w:rPr>
            </w:pPr>
            <w:r w:rsidRPr="00EC7B28">
              <w:rPr>
                <w:color w:val="auto"/>
                <w:sz w:val="20"/>
                <w:szCs w:val="20"/>
                <w:lang w:val="kk-KZ"/>
              </w:rPr>
              <w:t xml:space="preserve">5.1.3.1 – передавать художественный образ и характер музыки при исполнении различных песен; </w:t>
            </w:r>
          </w:p>
          <w:p w14:paraId="2AF8677C" w14:textId="77777777" w:rsidR="009F33B4" w:rsidRPr="00EC7B28" w:rsidRDefault="009F33B4" w:rsidP="00054BB4">
            <w:pPr>
              <w:pStyle w:val="NESTableText"/>
              <w:rPr>
                <w:color w:val="auto"/>
                <w:sz w:val="20"/>
                <w:szCs w:val="20"/>
                <w:lang w:val="kk-KZ"/>
              </w:rPr>
            </w:pPr>
            <w:r w:rsidRPr="00EC7B28">
              <w:rPr>
                <w:color w:val="auto"/>
                <w:sz w:val="20"/>
                <w:szCs w:val="20"/>
                <w:lang w:val="kk-KZ"/>
              </w:rPr>
              <w:t>5.1.3.3 – исполнять совместно на инструментах несложные фрагменты музыкальных произведений</w:t>
            </w:r>
          </w:p>
        </w:tc>
        <w:tc>
          <w:tcPr>
            <w:tcW w:w="993" w:type="dxa"/>
            <w:tcBorders>
              <w:top w:val="single" w:sz="4" w:space="0" w:color="auto"/>
              <w:left w:val="single" w:sz="4" w:space="0" w:color="auto"/>
              <w:right w:val="single" w:sz="4" w:space="0" w:color="auto"/>
            </w:tcBorders>
          </w:tcPr>
          <w:p w14:paraId="16A6D40B" w14:textId="77777777" w:rsidR="009F33B4" w:rsidRPr="00EC7B28" w:rsidRDefault="009F33B4" w:rsidP="00054BB4">
            <w:pPr>
              <w:widowControl w:val="0"/>
              <w:spacing w:after="0" w:line="240" w:lineRule="auto"/>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2</w:t>
            </w:r>
          </w:p>
        </w:tc>
        <w:tc>
          <w:tcPr>
            <w:tcW w:w="1417" w:type="dxa"/>
            <w:tcBorders>
              <w:top w:val="single" w:sz="4" w:space="0" w:color="auto"/>
              <w:left w:val="single" w:sz="4" w:space="0" w:color="auto"/>
              <w:right w:val="single" w:sz="4" w:space="0" w:color="auto"/>
            </w:tcBorders>
          </w:tcPr>
          <w:p w14:paraId="1921753A" w14:textId="77777777" w:rsidR="009F33B4" w:rsidRPr="00EC7B28" w:rsidRDefault="009F33B4" w:rsidP="00054BB4">
            <w:pPr>
              <w:pStyle w:val="a5"/>
              <w:spacing w:line="276" w:lineRule="auto"/>
              <w:rPr>
                <w:rFonts w:ascii="Times New Roman" w:hAnsi="Times New Roman" w:cs="Times New Roman"/>
                <w:sz w:val="20"/>
                <w:szCs w:val="20"/>
              </w:rPr>
            </w:pPr>
          </w:p>
        </w:tc>
      </w:tr>
      <w:tr w:rsidR="009F33B4" w:rsidRPr="00061231" w14:paraId="456E4FF5" w14:textId="77777777" w:rsidTr="009F33B4">
        <w:trPr>
          <w:trHeight w:val="678"/>
        </w:trPr>
        <w:tc>
          <w:tcPr>
            <w:tcW w:w="992" w:type="dxa"/>
            <w:vMerge/>
            <w:tcBorders>
              <w:left w:val="single" w:sz="4" w:space="0" w:color="auto"/>
              <w:right w:val="single" w:sz="4" w:space="0" w:color="auto"/>
            </w:tcBorders>
          </w:tcPr>
          <w:p w14:paraId="5A816537" w14:textId="77777777" w:rsidR="009F33B4" w:rsidRPr="00EC7B28" w:rsidRDefault="009F33B4" w:rsidP="00054BB4">
            <w:pPr>
              <w:widowControl w:val="0"/>
              <w:spacing w:after="0" w:line="240" w:lineRule="auto"/>
              <w:rPr>
                <w:rFonts w:ascii="Times New Roman" w:eastAsia="Times New Roman" w:hAnsi="Times New Roman" w:cs="Times New Roman"/>
                <w:sz w:val="20"/>
                <w:szCs w:val="20"/>
                <w:lang w:eastAsia="ru-RU"/>
              </w:rPr>
            </w:pPr>
          </w:p>
        </w:tc>
        <w:tc>
          <w:tcPr>
            <w:tcW w:w="3545" w:type="dxa"/>
            <w:vMerge/>
            <w:tcBorders>
              <w:left w:val="single" w:sz="4" w:space="0" w:color="auto"/>
              <w:right w:val="single" w:sz="4" w:space="0" w:color="auto"/>
            </w:tcBorders>
          </w:tcPr>
          <w:p w14:paraId="3114E73E" w14:textId="77777777" w:rsidR="009F33B4" w:rsidRPr="00EC7B28" w:rsidRDefault="009F33B4" w:rsidP="00054BB4">
            <w:pPr>
              <w:spacing w:after="0"/>
              <w:jc w:val="both"/>
              <w:rPr>
                <w:rFonts w:ascii="Times New Roman" w:hAnsi="Times New Roman" w:cs="Times New Roman"/>
                <w:sz w:val="20"/>
                <w:szCs w:val="20"/>
                <w:lang w:val="kk-KZ"/>
              </w:rPr>
            </w:pPr>
          </w:p>
        </w:tc>
        <w:tc>
          <w:tcPr>
            <w:tcW w:w="4110" w:type="dxa"/>
            <w:vMerge/>
            <w:tcBorders>
              <w:left w:val="single" w:sz="4" w:space="0" w:color="auto"/>
              <w:right w:val="single" w:sz="4" w:space="0" w:color="auto"/>
            </w:tcBorders>
          </w:tcPr>
          <w:p w14:paraId="09F7FD75" w14:textId="77777777" w:rsidR="009F33B4" w:rsidRPr="00EC7B28" w:rsidRDefault="009F33B4" w:rsidP="00054BB4">
            <w:pPr>
              <w:spacing w:after="0"/>
              <w:jc w:val="both"/>
              <w:rPr>
                <w:rFonts w:ascii="Times New Roman" w:hAnsi="Times New Roman" w:cs="Times New Roman"/>
                <w:sz w:val="20"/>
                <w:szCs w:val="20"/>
                <w:lang w:val="kk-KZ"/>
              </w:rPr>
            </w:pPr>
          </w:p>
        </w:tc>
        <w:tc>
          <w:tcPr>
            <w:tcW w:w="993" w:type="dxa"/>
            <w:tcBorders>
              <w:top w:val="single" w:sz="4" w:space="0" w:color="auto"/>
              <w:left w:val="single" w:sz="4" w:space="0" w:color="auto"/>
              <w:right w:val="single" w:sz="4" w:space="0" w:color="auto"/>
            </w:tcBorders>
          </w:tcPr>
          <w:p w14:paraId="09C3335F" w14:textId="77777777" w:rsidR="009F33B4" w:rsidRPr="00EC7B28" w:rsidRDefault="009F33B4" w:rsidP="00054BB4">
            <w:pPr>
              <w:widowControl w:val="0"/>
              <w:spacing w:after="0" w:line="240" w:lineRule="auto"/>
              <w:rPr>
                <w:rFonts w:ascii="Times New Roman" w:eastAsia="Times New Roman" w:hAnsi="Times New Roman" w:cs="Times New Roman"/>
                <w:sz w:val="20"/>
                <w:szCs w:val="20"/>
                <w:lang w:val="kk-KZ" w:eastAsia="ru-RU"/>
              </w:rPr>
            </w:pPr>
          </w:p>
        </w:tc>
        <w:tc>
          <w:tcPr>
            <w:tcW w:w="1417" w:type="dxa"/>
            <w:tcBorders>
              <w:top w:val="single" w:sz="4" w:space="0" w:color="auto"/>
              <w:left w:val="single" w:sz="4" w:space="0" w:color="auto"/>
              <w:right w:val="single" w:sz="4" w:space="0" w:color="auto"/>
            </w:tcBorders>
          </w:tcPr>
          <w:p w14:paraId="20966A07" w14:textId="77777777" w:rsidR="009F33B4" w:rsidRPr="00EC7B28" w:rsidRDefault="009F33B4" w:rsidP="00054BB4">
            <w:pPr>
              <w:pStyle w:val="a5"/>
              <w:spacing w:line="276" w:lineRule="auto"/>
              <w:rPr>
                <w:rFonts w:ascii="Times New Roman" w:hAnsi="Times New Roman" w:cs="Times New Roman"/>
                <w:sz w:val="20"/>
                <w:szCs w:val="20"/>
              </w:rPr>
            </w:pPr>
          </w:p>
        </w:tc>
      </w:tr>
      <w:tr w:rsidR="009F33B4" w:rsidRPr="00061231" w:rsidDel="000A2128" w14:paraId="10D1199F" w14:textId="77777777" w:rsidTr="009F33B4">
        <w:trPr>
          <w:trHeight w:val="2529"/>
        </w:trPr>
        <w:tc>
          <w:tcPr>
            <w:tcW w:w="992" w:type="dxa"/>
            <w:vMerge/>
            <w:tcBorders>
              <w:left w:val="single" w:sz="4" w:space="0" w:color="auto"/>
              <w:right w:val="single" w:sz="4" w:space="0" w:color="auto"/>
            </w:tcBorders>
          </w:tcPr>
          <w:p w14:paraId="33FE336F" w14:textId="77777777" w:rsidR="009F33B4" w:rsidRPr="00EC7B28" w:rsidRDefault="009F33B4" w:rsidP="00054BB4">
            <w:pPr>
              <w:widowControl w:val="0"/>
              <w:spacing w:after="0" w:line="240" w:lineRule="auto"/>
              <w:ind w:left="380"/>
              <w:contextualSpacing/>
              <w:rPr>
                <w:rFonts w:ascii="Times New Roman" w:eastAsia="Times New Roman" w:hAnsi="Times New Roman" w:cs="Times New Roman"/>
                <w:sz w:val="20"/>
                <w:szCs w:val="20"/>
                <w:lang w:eastAsia="ru-RU"/>
              </w:rPr>
            </w:pPr>
          </w:p>
        </w:tc>
        <w:tc>
          <w:tcPr>
            <w:tcW w:w="3545" w:type="dxa"/>
            <w:vMerge w:val="restart"/>
            <w:tcBorders>
              <w:top w:val="single" w:sz="4" w:space="0" w:color="auto"/>
              <w:left w:val="single" w:sz="4" w:space="0" w:color="auto"/>
              <w:right w:val="single" w:sz="4" w:space="0" w:color="auto"/>
            </w:tcBorders>
          </w:tcPr>
          <w:p w14:paraId="3A080377" w14:textId="77777777" w:rsidR="009F33B4" w:rsidRPr="00EC7B28" w:rsidRDefault="009F33B4" w:rsidP="00054BB4">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6-7</w:t>
            </w:r>
          </w:p>
          <w:p w14:paraId="6079B369" w14:textId="77777777" w:rsidR="009F33B4" w:rsidRPr="00EC7B28" w:rsidRDefault="009F33B4" w:rsidP="00054BB4">
            <w:pPr>
              <w:spacing w:after="0"/>
              <w:jc w:val="both"/>
              <w:rPr>
                <w:rFonts w:ascii="Times New Roman" w:hAnsi="Times New Roman" w:cs="Times New Roman"/>
                <w:b/>
                <w:color w:val="7030A0"/>
                <w:sz w:val="20"/>
                <w:szCs w:val="20"/>
                <w:lang w:val="kk-KZ"/>
              </w:rPr>
            </w:pPr>
            <w:r w:rsidRPr="00EC7B28">
              <w:rPr>
                <w:rFonts w:ascii="Times New Roman" w:hAnsi="Times New Roman" w:cs="Times New Roman"/>
                <w:b/>
                <w:color w:val="7030A0"/>
                <w:sz w:val="20"/>
                <w:szCs w:val="20"/>
                <w:lang w:val="kk-KZ"/>
              </w:rPr>
              <w:t xml:space="preserve">Волшебная сила кюя </w:t>
            </w:r>
          </w:p>
        </w:tc>
        <w:tc>
          <w:tcPr>
            <w:tcW w:w="4110" w:type="dxa"/>
            <w:vMerge w:val="restart"/>
            <w:tcBorders>
              <w:top w:val="single" w:sz="4" w:space="0" w:color="auto"/>
              <w:left w:val="single" w:sz="4" w:space="0" w:color="auto"/>
              <w:right w:val="single" w:sz="4" w:space="0" w:color="auto"/>
            </w:tcBorders>
          </w:tcPr>
          <w:p w14:paraId="37E4B26A" w14:textId="77777777" w:rsidR="009F33B4" w:rsidRPr="00EC7B28" w:rsidRDefault="009F33B4" w:rsidP="00054BB4">
            <w:pPr>
              <w:spacing w:after="0"/>
              <w:jc w:val="both"/>
              <w:rPr>
                <w:rFonts w:ascii="Times New Roman" w:eastAsia="Arial" w:hAnsi="Times New Roman" w:cs="Times New Roman"/>
                <w:bCs/>
                <w:sz w:val="20"/>
                <w:szCs w:val="20"/>
              </w:rPr>
            </w:pPr>
            <w:r w:rsidRPr="00EC7B28">
              <w:rPr>
                <w:rFonts w:ascii="Times New Roman" w:hAnsi="Times New Roman" w:cs="Times New Roman"/>
                <w:sz w:val="20"/>
                <w:szCs w:val="20"/>
                <w:lang w:val="kk-KZ"/>
              </w:rPr>
              <w:t xml:space="preserve">5.1.1.1 – </w:t>
            </w:r>
            <w:r w:rsidRPr="00EC7B28">
              <w:rPr>
                <w:rFonts w:ascii="Times New Roman" w:eastAsia="Arial" w:hAnsi="Times New Roman" w:cs="Times New Roman"/>
                <w:bCs/>
                <w:sz w:val="20"/>
                <w:szCs w:val="20"/>
              </w:rPr>
              <w:t xml:space="preserve">анализировать прослушанные музыкальные произведения, определять вид, стиль, жанр и средства музыкальной выразительности; </w:t>
            </w:r>
          </w:p>
          <w:p w14:paraId="5B9D5C3B" w14:textId="77777777" w:rsidR="009F33B4" w:rsidRPr="00EC7B28" w:rsidRDefault="009F33B4" w:rsidP="00054BB4">
            <w:pPr>
              <w:spacing w:after="0"/>
              <w:jc w:val="both"/>
              <w:rPr>
                <w:rFonts w:ascii="Times New Roman" w:hAnsi="Times New Roman" w:cs="Times New Roman"/>
                <w:sz w:val="20"/>
                <w:szCs w:val="20"/>
              </w:rPr>
            </w:pPr>
            <w:r w:rsidRPr="00EC7B28">
              <w:rPr>
                <w:rFonts w:ascii="Times New Roman" w:hAnsi="Times New Roman" w:cs="Times New Roman"/>
                <w:sz w:val="20"/>
                <w:szCs w:val="20"/>
                <w:lang w:val="kk-KZ"/>
              </w:rPr>
              <w:t xml:space="preserve">5.1.2.1 – </w:t>
            </w:r>
            <w:r w:rsidRPr="00EC7B28">
              <w:rPr>
                <w:rFonts w:ascii="Times New Roman" w:hAnsi="Times New Roman" w:cs="Times New Roman"/>
                <w:sz w:val="20"/>
                <w:szCs w:val="20"/>
              </w:rPr>
              <w:t xml:space="preserve">определять традиционные песенные, инструментальные стили и жанры, виды </w:t>
            </w:r>
            <w:proofErr w:type="spellStart"/>
            <w:r w:rsidRPr="00EC7B28">
              <w:rPr>
                <w:rFonts w:ascii="Times New Roman" w:hAnsi="Times New Roman" w:cs="Times New Roman"/>
                <w:sz w:val="20"/>
                <w:szCs w:val="20"/>
              </w:rPr>
              <w:t>айтысов</w:t>
            </w:r>
            <w:proofErr w:type="spellEnd"/>
            <w:r w:rsidRPr="00EC7B28">
              <w:rPr>
                <w:rFonts w:ascii="Times New Roman" w:hAnsi="Times New Roman" w:cs="Times New Roman"/>
                <w:sz w:val="20"/>
                <w:szCs w:val="20"/>
              </w:rPr>
              <w:t>;</w:t>
            </w:r>
          </w:p>
          <w:p w14:paraId="3EE82777" w14:textId="77777777" w:rsidR="009F33B4" w:rsidRPr="00EC7B28" w:rsidRDefault="009F33B4" w:rsidP="00054BB4">
            <w:pPr>
              <w:spacing w:after="0"/>
              <w:jc w:val="both"/>
              <w:rPr>
                <w:rFonts w:ascii="Times New Roman" w:hAnsi="Times New Roman" w:cs="Times New Roman"/>
                <w:sz w:val="20"/>
                <w:szCs w:val="20"/>
                <w:lang w:val="kk-KZ"/>
              </w:rPr>
            </w:pPr>
            <w:r w:rsidRPr="00EC7B28">
              <w:rPr>
                <w:rFonts w:ascii="Times New Roman" w:hAnsi="Times New Roman" w:cs="Times New Roman"/>
                <w:sz w:val="20"/>
                <w:szCs w:val="20"/>
                <w:lang w:val="kk-KZ"/>
              </w:rPr>
              <w:t>5.1.3.3 – исполнять совместно на инструментах несложные фрагменты музыкальных произведений</w:t>
            </w:r>
          </w:p>
        </w:tc>
        <w:tc>
          <w:tcPr>
            <w:tcW w:w="993" w:type="dxa"/>
            <w:tcBorders>
              <w:top w:val="single" w:sz="4" w:space="0" w:color="auto"/>
              <w:left w:val="single" w:sz="4" w:space="0" w:color="auto"/>
              <w:right w:val="single" w:sz="4" w:space="0" w:color="auto"/>
            </w:tcBorders>
          </w:tcPr>
          <w:p w14:paraId="6B3EC683" w14:textId="77777777" w:rsidR="009F33B4" w:rsidRPr="00EC7B28" w:rsidRDefault="009F33B4" w:rsidP="00054BB4">
            <w:pPr>
              <w:widowControl w:val="0"/>
              <w:spacing w:after="0" w:line="240" w:lineRule="auto"/>
              <w:contextualSpacing/>
              <w:rPr>
                <w:rFonts w:ascii="Times New Roman" w:eastAsia="Times New Roman" w:hAnsi="Times New Roman" w:cs="Times New Roman"/>
                <w:sz w:val="20"/>
                <w:szCs w:val="20"/>
                <w:lang w:val="kk-KZ" w:eastAsia="ru-RU"/>
              </w:rPr>
            </w:pPr>
            <w:r w:rsidRPr="00EC7B28">
              <w:rPr>
                <w:rFonts w:ascii="Times New Roman" w:eastAsia="Times New Roman" w:hAnsi="Times New Roman" w:cs="Times New Roman"/>
                <w:sz w:val="20"/>
                <w:szCs w:val="20"/>
                <w:lang w:val="kk-KZ" w:eastAsia="ru-RU"/>
              </w:rPr>
              <w:t>2</w:t>
            </w:r>
          </w:p>
        </w:tc>
        <w:tc>
          <w:tcPr>
            <w:tcW w:w="1417" w:type="dxa"/>
            <w:tcBorders>
              <w:top w:val="single" w:sz="4" w:space="0" w:color="auto"/>
              <w:left w:val="single" w:sz="4" w:space="0" w:color="auto"/>
              <w:right w:val="single" w:sz="4" w:space="0" w:color="auto"/>
            </w:tcBorders>
          </w:tcPr>
          <w:p w14:paraId="625277F7" w14:textId="77777777" w:rsidR="009F33B4" w:rsidRPr="00EC7B28" w:rsidRDefault="009F33B4" w:rsidP="00054BB4">
            <w:pPr>
              <w:pStyle w:val="a5"/>
              <w:spacing w:line="276" w:lineRule="auto"/>
              <w:rPr>
                <w:rFonts w:ascii="Times New Roman" w:hAnsi="Times New Roman" w:cs="Times New Roman"/>
                <w:sz w:val="20"/>
                <w:szCs w:val="20"/>
                <w:lang w:val="ru-RU"/>
              </w:rPr>
            </w:pPr>
          </w:p>
        </w:tc>
      </w:tr>
      <w:tr w:rsidR="009F33B4" w:rsidRPr="00061231" w:rsidDel="000A2128" w14:paraId="0B3190AB" w14:textId="77777777" w:rsidTr="009F33B4">
        <w:trPr>
          <w:trHeight w:val="2194"/>
        </w:trPr>
        <w:tc>
          <w:tcPr>
            <w:tcW w:w="992" w:type="dxa"/>
            <w:vMerge/>
            <w:tcBorders>
              <w:left w:val="single" w:sz="4" w:space="0" w:color="auto"/>
              <w:right w:val="single" w:sz="4" w:space="0" w:color="auto"/>
            </w:tcBorders>
          </w:tcPr>
          <w:p w14:paraId="40D0A8E7" w14:textId="77777777" w:rsidR="009F33B4" w:rsidRPr="00EC7B28" w:rsidRDefault="009F33B4" w:rsidP="00054BB4">
            <w:pPr>
              <w:widowControl w:val="0"/>
              <w:spacing w:after="0" w:line="240" w:lineRule="auto"/>
              <w:ind w:left="380"/>
              <w:contextualSpacing/>
              <w:rPr>
                <w:rFonts w:ascii="Times New Roman" w:eastAsia="Times New Roman" w:hAnsi="Times New Roman" w:cs="Times New Roman"/>
                <w:sz w:val="20"/>
                <w:szCs w:val="20"/>
                <w:lang w:eastAsia="ru-RU"/>
              </w:rPr>
            </w:pPr>
          </w:p>
        </w:tc>
        <w:tc>
          <w:tcPr>
            <w:tcW w:w="3545" w:type="dxa"/>
            <w:vMerge/>
            <w:tcBorders>
              <w:left w:val="single" w:sz="4" w:space="0" w:color="auto"/>
              <w:right w:val="single" w:sz="4" w:space="0" w:color="auto"/>
            </w:tcBorders>
          </w:tcPr>
          <w:p w14:paraId="1FEC6BFA" w14:textId="77777777" w:rsidR="009F33B4" w:rsidRPr="00EC7B28" w:rsidRDefault="009F33B4" w:rsidP="00054BB4">
            <w:pPr>
              <w:spacing w:after="0"/>
              <w:jc w:val="both"/>
              <w:rPr>
                <w:rFonts w:ascii="Times New Roman" w:hAnsi="Times New Roman" w:cs="Times New Roman"/>
                <w:sz w:val="20"/>
                <w:szCs w:val="20"/>
                <w:lang w:val="kk-KZ"/>
              </w:rPr>
            </w:pPr>
          </w:p>
        </w:tc>
        <w:tc>
          <w:tcPr>
            <w:tcW w:w="4110" w:type="dxa"/>
            <w:vMerge/>
            <w:tcBorders>
              <w:left w:val="single" w:sz="4" w:space="0" w:color="auto"/>
              <w:right w:val="single" w:sz="4" w:space="0" w:color="auto"/>
            </w:tcBorders>
          </w:tcPr>
          <w:p w14:paraId="4BF7294A" w14:textId="77777777" w:rsidR="009F33B4" w:rsidRPr="00EC7B28" w:rsidRDefault="009F33B4" w:rsidP="00054BB4">
            <w:pPr>
              <w:spacing w:after="0"/>
              <w:jc w:val="both"/>
              <w:rPr>
                <w:rFonts w:ascii="Times New Roman" w:hAnsi="Times New Roman" w:cs="Times New Roman"/>
                <w:sz w:val="20"/>
                <w:szCs w:val="20"/>
                <w:lang w:val="kk-KZ"/>
              </w:rPr>
            </w:pPr>
          </w:p>
        </w:tc>
        <w:tc>
          <w:tcPr>
            <w:tcW w:w="993" w:type="dxa"/>
            <w:tcBorders>
              <w:top w:val="single" w:sz="4" w:space="0" w:color="auto"/>
              <w:left w:val="single" w:sz="4" w:space="0" w:color="auto"/>
              <w:right w:val="single" w:sz="4" w:space="0" w:color="auto"/>
            </w:tcBorders>
          </w:tcPr>
          <w:p w14:paraId="63F7E30F" w14:textId="77777777" w:rsidR="009F33B4" w:rsidRPr="00EC7B28" w:rsidRDefault="009F33B4" w:rsidP="00054BB4">
            <w:pPr>
              <w:widowControl w:val="0"/>
              <w:spacing w:after="0" w:line="240" w:lineRule="auto"/>
              <w:contextualSpacing/>
              <w:rPr>
                <w:rFonts w:ascii="Times New Roman" w:eastAsia="Times New Roman" w:hAnsi="Times New Roman" w:cs="Times New Roman"/>
                <w:sz w:val="20"/>
                <w:szCs w:val="20"/>
                <w:lang w:val="kk-KZ" w:eastAsia="ru-RU"/>
              </w:rPr>
            </w:pPr>
          </w:p>
        </w:tc>
        <w:tc>
          <w:tcPr>
            <w:tcW w:w="1417" w:type="dxa"/>
            <w:tcBorders>
              <w:top w:val="single" w:sz="4" w:space="0" w:color="auto"/>
              <w:left w:val="single" w:sz="4" w:space="0" w:color="auto"/>
              <w:right w:val="single" w:sz="4" w:space="0" w:color="auto"/>
            </w:tcBorders>
          </w:tcPr>
          <w:p w14:paraId="37CE94DC" w14:textId="77777777" w:rsidR="009F33B4" w:rsidRPr="00EC7B28" w:rsidRDefault="009F33B4" w:rsidP="00054BB4">
            <w:pPr>
              <w:pStyle w:val="a5"/>
              <w:spacing w:line="276" w:lineRule="auto"/>
              <w:rPr>
                <w:rFonts w:ascii="Times New Roman" w:hAnsi="Times New Roman" w:cs="Times New Roman"/>
                <w:sz w:val="20"/>
                <w:szCs w:val="20"/>
                <w:lang w:val="ru-RU"/>
              </w:rPr>
            </w:pPr>
          </w:p>
        </w:tc>
      </w:tr>
    </w:tbl>
    <w:p w14:paraId="0787B44F" w14:textId="77777777" w:rsidR="009F33B4" w:rsidRPr="00061231" w:rsidRDefault="009F33B4" w:rsidP="009F33B4">
      <w:pPr>
        <w:spacing w:after="0" w:line="240" w:lineRule="auto"/>
        <w:jc w:val="center"/>
        <w:rPr>
          <w:rFonts w:ascii="Times New Roman" w:hAnsi="Times New Roman" w:cs="Times New Roman"/>
          <w:sz w:val="28"/>
          <w:szCs w:val="28"/>
        </w:rPr>
      </w:pPr>
      <w:bookmarkStart w:id="0" w:name="_GoBack"/>
      <w:bookmarkEnd w:id="0"/>
    </w:p>
    <w:p w14:paraId="7C1CF969" w14:textId="77777777" w:rsidR="00076F3E" w:rsidRDefault="00076F3E"/>
    <w:sectPr w:rsidR="00076F3E" w:rsidSect="009F33B4">
      <w:headerReference w:type="default" r:id="rI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E15DB" w14:textId="77777777" w:rsidR="00306251" w:rsidRDefault="00306251">
      <w:pPr>
        <w:spacing w:after="0" w:line="240" w:lineRule="auto"/>
      </w:pPr>
      <w:r>
        <w:separator/>
      </w:r>
    </w:p>
  </w:endnote>
  <w:endnote w:type="continuationSeparator" w:id="0">
    <w:p w14:paraId="666EFD22" w14:textId="77777777" w:rsidR="00306251" w:rsidRDefault="0030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20CE6" w14:textId="77777777" w:rsidR="00306251" w:rsidRDefault="00306251">
      <w:pPr>
        <w:spacing w:after="0" w:line="240" w:lineRule="auto"/>
      </w:pPr>
      <w:r>
        <w:separator/>
      </w:r>
    </w:p>
  </w:footnote>
  <w:footnote w:type="continuationSeparator" w:id="0">
    <w:p w14:paraId="70DEAB0D" w14:textId="77777777" w:rsidR="00306251" w:rsidRDefault="0030625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AD629" w14:textId="77777777" w:rsidR="006B745A" w:rsidRPr="006B745A" w:rsidRDefault="00306251" w:rsidP="006B745A">
    <w:pPr>
      <w:pStyle w:val="a3"/>
      <w:jc w:val="right"/>
      <w:rPr>
        <w:rFonts w:ascii="Times New Roman" w:hAnsi="Times New Roman" w:cs="Times New Roman"/>
        <w:i/>
        <w:sz w:val="24"/>
        <w:szCs w:val="24"/>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F33B4"/>
    <w:rsid w:val="00076F3E"/>
    <w:rsid w:val="00306251"/>
    <w:rsid w:val="00744560"/>
    <w:rsid w:val="009F33B4"/>
  </w:rsids>
  <m:mathPr>
    <m:mathFont m:val="Cambria Math"/>
    <m:brkBin m:val="before"/>
    <m:brkBinSub m:val="--"/>
    <m:smallFrac m:val="0"/>
    <m:dispDef/>
    <m:lMargin m:val="0"/>
    <m:rMargin m:val="0"/>
    <m:defJc m:val="centerGroup"/>
    <m:wrapIndent m:val="1440"/>
    <m:intLim m:val="subSup"/>
    <m:naryLim m:val="undOvr"/>
  </m:mathPr>
  <w:themeFontLang w:val="ru-RU"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349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F33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33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F33B4"/>
  </w:style>
  <w:style w:type="paragraph" w:customStyle="1" w:styleId="NESTableText">
    <w:name w:val="NES Table Text"/>
    <w:basedOn w:val="a"/>
    <w:link w:val="NESTableTextChar"/>
    <w:autoRedefine/>
    <w:rsid w:val="009F33B4"/>
    <w:pPr>
      <w:widowControl w:val="0"/>
      <w:spacing w:after="0" w:line="240" w:lineRule="auto"/>
      <w:jc w:val="both"/>
    </w:pPr>
    <w:rPr>
      <w:rFonts w:ascii="Times New Roman" w:eastAsia="Times New Roman" w:hAnsi="Times New Roman" w:cs="Times New Roman"/>
      <w:color w:val="000000"/>
      <w:sz w:val="24"/>
      <w:szCs w:val="24"/>
    </w:rPr>
  </w:style>
  <w:style w:type="character" w:customStyle="1" w:styleId="NESTableTextChar">
    <w:name w:val="NES Table Text Char"/>
    <w:link w:val="NESTableText"/>
    <w:rsid w:val="009F33B4"/>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9F33B4"/>
    <w:pPr>
      <w:widowControl w:val="0"/>
      <w:spacing w:after="0" w:line="240" w:lineRule="auto"/>
    </w:pPr>
    <w:rPr>
      <w:rFonts w:ascii="Calibri" w:eastAsia="Calibri" w:hAnsi="Calibri" w:cs="Times New Roman"/>
      <w:lang w:val="en-US"/>
    </w:rPr>
  </w:style>
  <w:style w:type="character" w:customStyle="1" w:styleId="apple-converted-space">
    <w:name w:val="apple-converted-space"/>
    <w:basedOn w:val="a0"/>
    <w:uiPriority w:val="99"/>
    <w:rsid w:val="009F33B4"/>
  </w:style>
  <w:style w:type="paragraph" w:styleId="a5">
    <w:name w:val="No Spacing"/>
    <w:uiPriority w:val="1"/>
    <w:qFormat/>
    <w:rsid w:val="009F33B4"/>
    <w:pPr>
      <w:spacing w:after="0" w:line="240" w:lineRule="auto"/>
    </w:pPr>
    <w:rPr>
      <w:rFonts w:eastAsiaTheme="minorEastAsia"/>
      <w:lang w:val="wo-SN" w:eastAsia="wo-SN"/>
    </w:rPr>
  </w:style>
  <w:style w:type="paragraph" w:styleId="a6">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Знак Знак"/>
    <w:basedOn w:val="a"/>
    <w:link w:val="2"/>
    <w:uiPriority w:val="99"/>
    <w:unhideWhenUsed/>
    <w:qFormat/>
    <w:rsid w:val="009F33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6"/>
    <w:uiPriority w:val="99"/>
    <w:locked/>
    <w:rsid w:val="009F33B4"/>
    <w:rPr>
      <w:rFonts w:ascii="Times New Roman" w:eastAsia="Times New Roman" w:hAnsi="Times New Roman" w:cs="Times New Roman"/>
      <w:sz w:val="24"/>
      <w:szCs w:val="24"/>
    </w:rPr>
  </w:style>
  <w:style w:type="paragraph" w:styleId="a7">
    <w:name w:val="List Paragraph"/>
    <w:basedOn w:val="a"/>
    <w:link w:val="a8"/>
    <w:uiPriority w:val="34"/>
    <w:qFormat/>
    <w:rsid w:val="009F33B4"/>
    <w:pPr>
      <w:widowControl w:val="0"/>
      <w:spacing w:after="0" w:line="260" w:lineRule="exact"/>
      <w:ind w:left="720"/>
      <w:contextualSpacing/>
    </w:pPr>
    <w:rPr>
      <w:rFonts w:ascii="Arial" w:eastAsia="Times New Roman" w:hAnsi="Arial" w:cs="Times New Roman"/>
      <w:szCs w:val="24"/>
      <w:lang w:val="en-GB"/>
    </w:rPr>
  </w:style>
  <w:style w:type="character" w:customStyle="1" w:styleId="a8">
    <w:name w:val="Абзац списка Знак"/>
    <w:link w:val="a7"/>
    <w:uiPriority w:val="34"/>
    <w:locked/>
    <w:rsid w:val="009F33B4"/>
    <w:rPr>
      <w:rFonts w:ascii="Arial" w:eastAsia="Times New Roman" w:hAnsi="Arial"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215</Words>
  <Characters>1232</Characters>
  <Application>Microsoft Macintosh Word</Application>
  <DocSecurity>0</DocSecurity>
  <Lines>10</Lines>
  <Paragraphs>2</Paragraphs>
  <ScaleCrop>false</ScaleCrop>
  <Company>Microsoft</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BiRjAN</dc:creator>
  <cp:lastModifiedBy>пользователь Microsoft Office</cp:lastModifiedBy>
  <cp:revision>2</cp:revision>
  <dcterms:created xsi:type="dcterms:W3CDTF">2017-09-29T02:38:00Z</dcterms:created>
  <dcterms:modified xsi:type="dcterms:W3CDTF">2017-09-30T19:11:00Z</dcterms:modified>
</cp:coreProperties>
</file>